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02092" w14:textId="2645153B" w:rsidR="00D35CDA" w:rsidRDefault="00E75589">
      <w:pPr>
        <w:jc w:val="center"/>
        <w:rPr>
          <w:rFonts w:ascii="Arial" w:eastAsia="Arial" w:hAnsi="Arial" w:cs="Arial"/>
          <w:b/>
          <w:sz w:val="20"/>
          <w:szCs w:val="20"/>
        </w:rPr>
      </w:pPr>
      <w:r w:rsidRPr="00164342">
        <w:rPr>
          <w:b/>
          <w:noProof/>
          <w:sz w:val="26"/>
          <w:szCs w:val="26"/>
          <w:u w:val="single"/>
        </w:rPr>
        <mc:AlternateContent>
          <mc:Choice Requires="wps">
            <w:drawing>
              <wp:anchor distT="45720" distB="45720" distL="114300" distR="114300" simplePos="0" relativeHeight="251659264" behindDoc="1" locked="0" layoutInCell="1" allowOverlap="1" wp14:anchorId="3AB5FEF8" wp14:editId="5783245B">
                <wp:simplePos x="0" y="0"/>
                <wp:positionH relativeFrom="column">
                  <wp:posOffset>-268165</wp:posOffset>
                </wp:positionH>
                <wp:positionV relativeFrom="paragraph">
                  <wp:posOffset>-268165</wp:posOffset>
                </wp:positionV>
                <wp:extent cx="7067550" cy="578827"/>
                <wp:effectExtent l="19050" t="19050" r="19050"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78827"/>
                        </a:xfrm>
                        <a:prstGeom prst="rect">
                          <a:avLst/>
                        </a:prstGeom>
                        <a:solidFill>
                          <a:srgbClr val="FFFFFF"/>
                        </a:solidFill>
                        <a:ln w="28575">
                          <a:solidFill>
                            <a:srgbClr val="000000"/>
                          </a:solidFill>
                          <a:miter lim="800000"/>
                          <a:headEnd/>
                          <a:tailEnd/>
                        </a:ln>
                      </wps:spPr>
                      <wps:txbx>
                        <w:txbxContent>
                          <w:p w14:paraId="3510F3C5" w14:textId="77777777" w:rsidR="00E75589" w:rsidRDefault="00E75589" w:rsidP="00E75589">
                            <w:r w:rsidRPr="0024452B">
                              <w:rPr>
                                <w:rFonts w:asciiTheme="minorBidi" w:eastAsia="MS PGothic" w:hAnsiTheme="minorBidi" w:cstheme="minorBidi"/>
                                <w:color w:val="000000"/>
                                <w:sz w:val="20"/>
                                <w:szCs w:val="20"/>
                              </w:rPr>
                              <w:t>This document is not a substitute for reading the DfE's ‘</w:t>
                            </w:r>
                            <w:hyperlink r:id="rId9" w:history="1">
                              <w:r w:rsidRPr="0024452B">
                                <w:rPr>
                                  <w:rStyle w:val="Hyperlink"/>
                                  <w:rFonts w:asciiTheme="minorBidi" w:eastAsia="MS PGothic" w:hAnsiTheme="minorBidi" w:cstheme="minorBidi"/>
                                  <w:sz w:val="20"/>
                                  <w:szCs w:val="20"/>
                                </w:rPr>
                                <w:t>Suspension and permanent exclusion from maintained schools, academies and pupil referral units in England, including pupil movement</w:t>
                              </w:r>
                            </w:hyperlink>
                            <w:r w:rsidRPr="0024452B">
                              <w:rPr>
                                <w:rFonts w:asciiTheme="minorBidi" w:eastAsia="MS PGothic" w:hAnsiTheme="minorBidi" w:cstheme="minorBidi"/>
                                <w:color w:val="000000"/>
                                <w:sz w:val="20"/>
                                <w:szCs w:val="20"/>
                              </w:rPr>
                              <w:t xml:space="preserve">’ guidance (effective 1 September 2023) It </w:t>
                            </w:r>
                            <w:r w:rsidRPr="0024452B">
                              <w:rPr>
                                <w:rFonts w:asciiTheme="minorBidi" w:eastAsia="Arial" w:hAnsiTheme="minorBidi" w:cstheme="minorBidi"/>
                                <w:sz w:val="20"/>
                                <w:szCs w:val="20"/>
                              </w:rPr>
                              <w:t>is designed to guide you through the difficult and complicated process of deciding whether to permanently exclude a child</w:t>
                            </w:r>
                            <w:r w:rsidRPr="00A86FF0">
                              <w:rPr>
                                <w:rFonts w:asciiTheme="minorBidi" w:eastAsia="Arial" w:hAnsiTheme="minorBidi" w:cstheme="minorBid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B5FEF8" id="_x0000_t202" coordsize="21600,21600" o:spt="202" path="m,l,21600r21600,l21600,xe">
                <v:stroke joinstyle="miter"/>
                <v:path gradientshapeok="t" o:connecttype="rect"/>
              </v:shapetype>
              <v:shape id="Text Box 2" o:spid="_x0000_s1026" type="#_x0000_t202" style="position:absolute;left:0;text-align:left;margin-left:-21.1pt;margin-top:-21.1pt;width:556.5pt;height:4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" strokeweight="2.25pt">
                <v:textbox>
                  <w:txbxContent>
                    <w:p w14:paraId="3510F3C5" w14:textId="77777777" w:rsidR="00E75589" w:rsidRDefault="00E75589" w:rsidP="00E75589">
                      <w:r w:rsidRPr="0024452B">
                        <w:rPr>
                          <w:rFonts w:asciiTheme="minorBidi" w:eastAsia="MS PGothic" w:hAnsiTheme="minorBidi" w:cstheme="minorBidi"/>
                          <w:color w:val="000000"/>
                          <w:sz w:val="20"/>
                          <w:szCs w:val="20"/>
                        </w:rPr>
                        <w:t>This document is not a substitute for reading the DfE's ‘</w:t>
                      </w:r>
                      <w:hyperlink r:id="rId10" w:history="1">
                        <w:r w:rsidRPr="0024452B">
                          <w:rPr>
                            <w:rStyle w:val="Hyperlink"/>
                            <w:rFonts w:asciiTheme="minorBidi" w:eastAsia="MS PGothic" w:hAnsiTheme="minorBidi" w:cstheme="minorBidi"/>
                            <w:sz w:val="20"/>
                            <w:szCs w:val="20"/>
                          </w:rPr>
                          <w:t>Suspension and permanent exclusion from maintained schools, academies and pupil referral units in England, including pupil movement</w:t>
                        </w:r>
                      </w:hyperlink>
                      <w:r w:rsidRPr="0024452B">
                        <w:rPr>
                          <w:rFonts w:asciiTheme="minorBidi" w:eastAsia="MS PGothic" w:hAnsiTheme="minorBidi" w:cstheme="minorBidi"/>
                          <w:color w:val="000000"/>
                          <w:sz w:val="20"/>
                          <w:szCs w:val="20"/>
                        </w:rPr>
                        <w:t xml:space="preserve">’ guidance (effective 1 September 2023) It </w:t>
                      </w:r>
                      <w:r w:rsidRPr="0024452B">
                        <w:rPr>
                          <w:rFonts w:asciiTheme="minorBidi" w:eastAsia="Arial" w:hAnsiTheme="minorBidi" w:cstheme="minorBidi"/>
                          <w:sz w:val="20"/>
                          <w:szCs w:val="20"/>
                        </w:rPr>
                        <w:t>is designed to guide you through the difficult and complicated process of deciding whether to permanently exclude a child</w:t>
                      </w:r>
                      <w:r w:rsidRPr="00A86FF0">
                        <w:rPr>
                          <w:rFonts w:asciiTheme="minorBidi" w:eastAsia="Arial" w:hAnsiTheme="minorBidi" w:cstheme="minorBidi"/>
                        </w:rPr>
                        <w:t>.</w:t>
                      </w:r>
                    </w:p>
                  </w:txbxContent>
                </v:textbox>
              </v:shape>
            </w:pict>
          </mc:Fallback>
        </mc:AlternateContent>
      </w:r>
    </w:p>
    <w:p w14:paraId="08718610" w14:textId="77777777" w:rsidR="0024452B" w:rsidRDefault="0024452B" w:rsidP="0024452B">
      <w:pPr>
        <w:spacing w:after="0" w:line="240" w:lineRule="auto"/>
        <w:jc w:val="center"/>
        <w:rPr>
          <w:rFonts w:ascii="Arial" w:eastAsia="Arial" w:hAnsi="Arial" w:cs="Arial"/>
          <w:b/>
          <w:sz w:val="20"/>
          <w:szCs w:val="20"/>
        </w:rPr>
      </w:pPr>
    </w:p>
    <w:p w14:paraId="17794A80" w14:textId="7649CE05" w:rsidR="00864650" w:rsidRPr="0024452B" w:rsidRDefault="0024452B" w:rsidP="0024452B">
      <w:pPr>
        <w:spacing w:after="0" w:line="240" w:lineRule="auto"/>
        <w:jc w:val="center"/>
        <w:rPr>
          <w:rFonts w:ascii="Arial" w:eastAsia="Arial" w:hAnsi="Arial" w:cs="Arial"/>
          <w:b/>
        </w:rPr>
      </w:pPr>
      <w:r w:rsidRPr="0024452B">
        <w:rPr>
          <w:rFonts w:ascii="Arial" w:eastAsia="Arial" w:hAnsi="Arial" w:cs="Arial"/>
          <w:b/>
        </w:rPr>
        <w:t>Panel Review Deliberation Checklist</w:t>
      </w:r>
    </w:p>
    <w:tbl>
      <w:tblPr>
        <w:tblStyle w:val="a"/>
        <w:tblW w:w="11070"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0"/>
        <w:gridCol w:w="420"/>
      </w:tblGrid>
      <w:tr w:rsidR="00AB4EEB" w:rsidRPr="00AB4EEB" w14:paraId="257274E1" w14:textId="77777777">
        <w:tc>
          <w:tcPr>
            <w:tcW w:w="10650" w:type="dxa"/>
            <w:shd w:val="clear" w:color="auto" w:fill="CFE2F3"/>
          </w:tcPr>
          <w:p w14:paraId="232BBCA3" w14:textId="6BA0D968" w:rsidR="00D35CDA" w:rsidRPr="0094394B" w:rsidRDefault="0024452B" w:rsidP="0094394B">
            <w:pPr>
              <w:spacing w:before="120"/>
              <w:ind w:left="-74"/>
              <w:jc w:val="both"/>
              <w:rPr>
                <w:rFonts w:asciiTheme="minorBidi" w:eastAsia="Arial" w:hAnsiTheme="minorBidi" w:cstheme="minorBidi"/>
              </w:rPr>
            </w:pPr>
            <w:r w:rsidRPr="00AB4EEB">
              <w:rPr>
                <w:rFonts w:ascii="Arial" w:eastAsia="Arial" w:hAnsi="Arial" w:cs="Arial"/>
                <w:b/>
                <w:sz w:val="20"/>
                <w:szCs w:val="20"/>
              </w:rPr>
              <w:t>The Facts</w:t>
            </w:r>
          </w:p>
        </w:tc>
        <w:tc>
          <w:tcPr>
            <w:tcW w:w="420" w:type="dxa"/>
          </w:tcPr>
          <w:p w14:paraId="5FF06C2A" w14:textId="77777777" w:rsidR="00864650" w:rsidRPr="00AB4EEB" w:rsidRDefault="0024452B">
            <w:pPr>
              <w:rPr>
                <w:rFonts w:ascii="Arial" w:eastAsia="Arial" w:hAnsi="Arial" w:cs="Arial"/>
                <w:sz w:val="20"/>
                <w:szCs w:val="20"/>
              </w:rPr>
            </w:pPr>
            <w:r w:rsidRPr="00AB4EEB">
              <w:rPr>
                <w:rFonts w:ascii="Arial Unicode MS" w:eastAsia="Arial Unicode MS" w:hAnsi="Arial Unicode MS" w:cs="Arial Unicode MS"/>
                <w:sz w:val="20"/>
                <w:szCs w:val="20"/>
              </w:rPr>
              <w:t>✔</w:t>
            </w:r>
          </w:p>
        </w:tc>
      </w:tr>
      <w:tr w:rsidR="00AB4EEB" w:rsidRPr="00AB4EEB" w14:paraId="07925E9F" w14:textId="77777777">
        <w:tc>
          <w:tcPr>
            <w:tcW w:w="10650" w:type="dxa"/>
          </w:tcPr>
          <w:p w14:paraId="32FAAB9D" w14:textId="77777777" w:rsidR="00864650" w:rsidRPr="00AB4EEB" w:rsidRDefault="0024452B">
            <w:pPr>
              <w:rPr>
                <w:rFonts w:ascii="Arial" w:eastAsia="Arial" w:hAnsi="Arial" w:cs="Arial"/>
                <w:sz w:val="20"/>
                <w:szCs w:val="20"/>
              </w:rPr>
            </w:pPr>
            <w:r w:rsidRPr="00AB4EEB">
              <w:rPr>
                <w:rFonts w:ascii="Arial" w:eastAsia="Arial" w:hAnsi="Arial" w:cs="Arial"/>
                <w:sz w:val="20"/>
                <w:szCs w:val="20"/>
              </w:rPr>
              <w:t xml:space="preserve">Has the school properly and fully presented a case for the exclusion? This involves a two-part test: establishing a serious breach </w:t>
            </w:r>
            <w:r w:rsidRPr="00AB4EEB">
              <w:rPr>
                <w:rFonts w:ascii="Arial" w:eastAsia="Arial" w:hAnsi="Arial" w:cs="Arial"/>
                <w:b/>
                <w:sz w:val="20"/>
                <w:szCs w:val="20"/>
              </w:rPr>
              <w:t>OR</w:t>
            </w:r>
            <w:r w:rsidRPr="00AB4EEB">
              <w:rPr>
                <w:rFonts w:ascii="Arial" w:eastAsia="Arial" w:hAnsi="Arial" w:cs="Arial"/>
                <w:sz w:val="20"/>
                <w:szCs w:val="20"/>
              </w:rPr>
              <w:t xml:space="preserve"> persistent breaches of the behaviour policy </w:t>
            </w:r>
            <w:r w:rsidRPr="00AB4EEB">
              <w:rPr>
                <w:rFonts w:ascii="Arial" w:eastAsia="Arial" w:hAnsi="Arial" w:cs="Arial"/>
                <w:b/>
                <w:sz w:val="20"/>
                <w:szCs w:val="20"/>
              </w:rPr>
              <w:t>AND</w:t>
            </w:r>
            <w:r w:rsidRPr="00AB4EEB">
              <w:rPr>
                <w:rFonts w:ascii="Arial" w:eastAsia="Arial" w:hAnsi="Arial" w:cs="Arial"/>
                <w:sz w:val="20"/>
                <w:szCs w:val="20"/>
              </w:rPr>
              <w:t xml:space="preserve"> showing that the pupil remaining in school would seriously harm either the pupil or others.</w:t>
            </w:r>
          </w:p>
        </w:tc>
        <w:tc>
          <w:tcPr>
            <w:tcW w:w="420" w:type="dxa"/>
          </w:tcPr>
          <w:p w14:paraId="559671A3" w14:textId="77777777" w:rsidR="00864650" w:rsidRPr="00AB4EEB" w:rsidRDefault="00864650">
            <w:pPr>
              <w:rPr>
                <w:rFonts w:ascii="Arial" w:eastAsia="Arial" w:hAnsi="Arial" w:cs="Arial"/>
                <w:sz w:val="20"/>
                <w:szCs w:val="20"/>
              </w:rPr>
            </w:pPr>
          </w:p>
        </w:tc>
      </w:tr>
      <w:tr w:rsidR="00AB4EEB" w:rsidRPr="00AB4EEB" w14:paraId="0E45FC78" w14:textId="77777777">
        <w:tc>
          <w:tcPr>
            <w:tcW w:w="10650" w:type="dxa"/>
          </w:tcPr>
          <w:p w14:paraId="1544BC87" w14:textId="77777777" w:rsidR="00864650" w:rsidRPr="00AB4EEB" w:rsidRDefault="0024452B">
            <w:pPr>
              <w:rPr>
                <w:rFonts w:ascii="Arial" w:eastAsia="Arial" w:hAnsi="Arial" w:cs="Arial"/>
                <w:sz w:val="20"/>
                <w:szCs w:val="20"/>
              </w:rPr>
            </w:pPr>
            <w:r w:rsidRPr="00AB4EEB">
              <w:rPr>
                <w:rFonts w:ascii="Arial" w:eastAsia="Arial" w:hAnsi="Arial" w:cs="Arial"/>
                <w:sz w:val="20"/>
                <w:szCs w:val="20"/>
              </w:rPr>
              <w:t>Part 1 of two-part test: If the facts are disputed, on the balance of probabilities (i.e. more likely than not), did they occur as alleged by the school?</w:t>
            </w:r>
          </w:p>
        </w:tc>
        <w:tc>
          <w:tcPr>
            <w:tcW w:w="420" w:type="dxa"/>
          </w:tcPr>
          <w:p w14:paraId="09013474" w14:textId="77777777" w:rsidR="00864650" w:rsidRPr="00AB4EEB" w:rsidRDefault="00864650">
            <w:pPr>
              <w:rPr>
                <w:rFonts w:ascii="Arial" w:eastAsia="Arial" w:hAnsi="Arial" w:cs="Arial"/>
                <w:sz w:val="20"/>
                <w:szCs w:val="20"/>
              </w:rPr>
            </w:pPr>
          </w:p>
        </w:tc>
      </w:tr>
      <w:tr w:rsidR="00AB4EEB" w:rsidRPr="00AB4EEB" w14:paraId="6B1C7364" w14:textId="77777777">
        <w:tc>
          <w:tcPr>
            <w:tcW w:w="10650" w:type="dxa"/>
          </w:tcPr>
          <w:p w14:paraId="2DF32F28" w14:textId="77777777" w:rsidR="00864650" w:rsidRPr="00AB4EEB" w:rsidRDefault="0024452B">
            <w:pPr>
              <w:rPr>
                <w:rFonts w:ascii="Arial" w:eastAsia="Arial" w:hAnsi="Arial" w:cs="Arial"/>
                <w:sz w:val="20"/>
                <w:szCs w:val="20"/>
              </w:rPr>
            </w:pPr>
            <w:r w:rsidRPr="00AB4EEB">
              <w:rPr>
                <w:rFonts w:ascii="Arial" w:eastAsia="Arial" w:hAnsi="Arial" w:cs="Arial"/>
                <w:sz w:val="20"/>
                <w:szCs w:val="20"/>
              </w:rPr>
              <w:t>Was the decision based on a breach(s) of the behaviour policy?  Are governors satisfied that the child knew, or ought reasonably to have known, that his/her behaviour breached the behaviour policy?</w:t>
            </w:r>
          </w:p>
        </w:tc>
        <w:tc>
          <w:tcPr>
            <w:tcW w:w="420" w:type="dxa"/>
          </w:tcPr>
          <w:p w14:paraId="6564E7C6" w14:textId="77777777" w:rsidR="00864650" w:rsidRPr="00AB4EEB" w:rsidRDefault="00864650">
            <w:pPr>
              <w:rPr>
                <w:rFonts w:ascii="Arial" w:eastAsia="Arial" w:hAnsi="Arial" w:cs="Arial"/>
                <w:sz w:val="20"/>
                <w:szCs w:val="20"/>
              </w:rPr>
            </w:pPr>
          </w:p>
        </w:tc>
      </w:tr>
      <w:tr w:rsidR="00AB4EEB" w:rsidRPr="00AB4EEB" w14:paraId="47A62E6A" w14:textId="77777777">
        <w:tc>
          <w:tcPr>
            <w:tcW w:w="10650" w:type="dxa"/>
          </w:tcPr>
          <w:p w14:paraId="3D83A2B6" w14:textId="77777777" w:rsidR="00864650" w:rsidRPr="00AB4EEB" w:rsidRDefault="0024452B">
            <w:pPr>
              <w:rPr>
                <w:rFonts w:ascii="Arial" w:eastAsia="Arial" w:hAnsi="Arial" w:cs="Arial"/>
                <w:sz w:val="20"/>
                <w:szCs w:val="20"/>
              </w:rPr>
            </w:pPr>
            <w:r w:rsidRPr="00AB4EEB">
              <w:rPr>
                <w:rFonts w:ascii="Arial" w:eastAsia="Arial" w:hAnsi="Arial" w:cs="Arial"/>
                <w:sz w:val="20"/>
                <w:szCs w:val="20"/>
              </w:rPr>
              <w:t>Part 2 of two-part test: Are governors satisfied that the pupil’s return would ‘seriously harm’ either the pupil or others? Has the school sufficiently articulated the risk presented to either the pupil themselves or others?</w:t>
            </w:r>
          </w:p>
        </w:tc>
        <w:tc>
          <w:tcPr>
            <w:tcW w:w="420" w:type="dxa"/>
          </w:tcPr>
          <w:p w14:paraId="7E0602CB" w14:textId="77777777" w:rsidR="00864650" w:rsidRPr="00AB4EEB" w:rsidRDefault="00864650">
            <w:pPr>
              <w:rPr>
                <w:rFonts w:ascii="Arial" w:eastAsia="Arial" w:hAnsi="Arial" w:cs="Arial"/>
                <w:sz w:val="20"/>
                <w:szCs w:val="20"/>
              </w:rPr>
            </w:pPr>
          </w:p>
        </w:tc>
      </w:tr>
      <w:tr w:rsidR="00AB4EEB" w:rsidRPr="00AB4EEB" w14:paraId="2A0A3843" w14:textId="77777777">
        <w:tc>
          <w:tcPr>
            <w:tcW w:w="10650" w:type="dxa"/>
            <w:shd w:val="clear" w:color="auto" w:fill="CFE2F3"/>
          </w:tcPr>
          <w:p w14:paraId="4D4F7E56" w14:textId="77777777" w:rsidR="00864650" w:rsidRPr="00AB4EEB" w:rsidRDefault="0024452B">
            <w:pPr>
              <w:rPr>
                <w:rFonts w:ascii="Arial" w:eastAsia="Arial" w:hAnsi="Arial" w:cs="Arial"/>
                <w:b/>
                <w:sz w:val="20"/>
                <w:szCs w:val="20"/>
              </w:rPr>
            </w:pPr>
            <w:r w:rsidRPr="00AB4EEB">
              <w:rPr>
                <w:rFonts w:ascii="Arial" w:eastAsia="Arial" w:hAnsi="Arial" w:cs="Arial"/>
                <w:b/>
                <w:sz w:val="20"/>
                <w:szCs w:val="20"/>
              </w:rPr>
              <w:t>The Process</w:t>
            </w:r>
          </w:p>
        </w:tc>
        <w:tc>
          <w:tcPr>
            <w:tcW w:w="420" w:type="dxa"/>
          </w:tcPr>
          <w:p w14:paraId="7DAE7D4F" w14:textId="77777777" w:rsidR="00864650" w:rsidRPr="00AB4EEB" w:rsidRDefault="00864650">
            <w:pPr>
              <w:rPr>
                <w:rFonts w:ascii="Arial" w:eastAsia="Arial" w:hAnsi="Arial" w:cs="Arial"/>
                <w:sz w:val="20"/>
                <w:szCs w:val="20"/>
              </w:rPr>
            </w:pPr>
          </w:p>
        </w:tc>
      </w:tr>
      <w:tr w:rsidR="00AB4EEB" w:rsidRPr="00AB4EEB" w14:paraId="47906852" w14:textId="77777777">
        <w:tc>
          <w:tcPr>
            <w:tcW w:w="10650" w:type="dxa"/>
          </w:tcPr>
          <w:p w14:paraId="651D1FDB" w14:textId="77777777" w:rsidR="00864650" w:rsidRPr="00AB4EEB" w:rsidRDefault="0024452B">
            <w:pPr>
              <w:rPr>
                <w:rFonts w:ascii="Arial" w:eastAsia="Arial" w:hAnsi="Arial" w:cs="Arial"/>
                <w:sz w:val="20"/>
                <w:szCs w:val="20"/>
              </w:rPr>
            </w:pPr>
            <w:r w:rsidRPr="00AB4EEB">
              <w:rPr>
                <w:rFonts w:ascii="Arial" w:eastAsia="Arial" w:hAnsi="Arial" w:cs="Arial"/>
                <w:sz w:val="20"/>
                <w:szCs w:val="20"/>
              </w:rPr>
              <w:t>Have the pupil and his/her family been properly notified of the exclusion and the hearing and had an adequate opportunity to represent themselves?</w:t>
            </w:r>
          </w:p>
        </w:tc>
        <w:tc>
          <w:tcPr>
            <w:tcW w:w="420" w:type="dxa"/>
          </w:tcPr>
          <w:p w14:paraId="295BF345" w14:textId="77777777" w:rsidR="00864650" w:rsidRPr="00AB4EEB" w:rsidRDefault="00864650">
            <w:pPr>
              <w:rPr>
                <w:rFonts w:ascii="Arial" w:eastAsia="Arial" w:hAnsi="Arial" w:cs="Arial"/>
                <w:sz w:val="20"/>
                <w:szCs w:val="20"/>
              </w:rPr>
            </w:pPr>
          </w:p>
        </w:tc>
      </w:tr>
      <w:tr w:rsidR="00AB4EEB" w:rsidRPr="00AB4EEB" w14:paraId="1FE3A8F5" w14:textId="77777777">
        <w:tc>
          <w:tcPr>
            <w:tcW w:w="10650" w:type="dxa"/>
          </w:tcPr>
          <w:p w14:paraId="09FEEBDB" w14:textId="77777777" w:rsidR="00864650" w:rsidRPr="00AB4EEB" w:rsidRDefault="0024452B">
            <w:pPr>
              <w:rPr>
                <w:rFonts w:ascii="Arial" w:eastAsia="Arial" w:hAnsi="Arial" w:cs="Arial"/>
                <w:sz w:val="20"/>
                <w:szCs w:val="20"/>
              </w:rPr>
            </w:pPr>
            <w:r w:rsidRPr="00AB4EEB">
              <w:rPr>
                <w:rFonts w:ascii="Arial" w:eastAsia="Arial" w:hAnsi="Arial" w:cs="Arial"/>
                <w:sz w:val="20"/>
                <w:szCs w:val="20"/>
              </w:rPr>
              <w:t>Did the school provide the pupil with an opportunity to make their case and provide a statement before the decision to exclude?  If no statement was obtained, has the school satisfactorily explained why not?</w:t>
            </w:r>
          </w:p>
        </w:tc>
        <w:tc>
          <w:tcPr>
            <w:tcW w:w="420" w:type="dxa"/>
          </w:tcPr>
          <w:p w14:paraId="13AAF0C6" w14:textId="77777777" w:rsidR="00864650" w:rsidRPr="00AB4EEB" w:rsidRDefault="00864650">
            <w:pPr>
              <w:rPr>
                <w:rFonts w:ascii="Arial" w:eastAsia="Arial" w:hAnsi="Arial" w:cs="Arial"/>
                <w:sz w:val="20"/>
                <w:szCs w:val="20"/>
              </w:rPr>
            </w:pPr>
          </w:p>
        </w:tc>
      </w:tr>
      <w:tr w:rsidR="00AB4EEB" w:rsidRPr="00AB4EEB" w14:paraId="35071DED" w14:textId="77777777">
        <w:tc>
          <w:tcPr>
            <w:tcW w:w="10650" w:type="dxa"/>
          </w:tcPr>
          <w:p w14:paraId="7BD58E5A" w14:textId="77777777" w:rsidR="00864650" w:rsidRPr="00AB4EEB" w:rsidRDefault="0024452B">
            <w:pPr>
              <w:rPr>
                <w:rFonts w:ascii="Arial" w:eastAsia="Arial" w:hAnsi="Arial" w:cs="Arial"/>
                <w:sz w:val="20"/>
                <w:szCs w:val="20"/>
              </w:rPr>
            </w:pPr>
            <w:r w:rsidRPr="00AB4EEB">
              <w:rPr>
                <w:rFonts w:ascii="Arial" w:eastAsia="Arial" w:hAnsi="Arial" w:cs="Arial"/>
                <w:sz w:val="20"/>
                <w:szCs w:val="20"/>
              </w:rPr>
              <w:t>Has the school provided statements from witnesses, rather than relying on hear-say? Were the statements credible (i.e. taken in the proper way, signed, dated)?</w:t>
            </w:r>
          </w:p>
        </w:tc>
        <w:tc>
          <w:tcPr>
            <w:tcW w:w="420" w:type="dxa"/>
          </w:tcPr>
          <w:p w14:paraId="4AC2FA3F" w14:textId="77777777" w:rsidR="00864650" w:rsidRPr="00AB4EEB" w:rsidRDefault="00864650">
            <w:pPr>
              <w:rPr>
                <w:rFonts w:ascii="Arial" w:eastAsia="Arial" w:hAnsi="Arial" w:cs="Arial"/>
                <w:sz w:val="20"/>
                <w:szCs w:val="20"/>
              </w:rPr>
            </w:pPr>
          </w:p>
        </w:tc>
      </w:tr>
      <w:tr w:rsidR="00AB4EEB" w:rsidRPr="00AB4EEB" w14:paraId="07D51E8E" w14:textId="77777777">
        <w:tc>
          <w:tcPr>
            <w:tcW w:w="10650" w:type="dxa"/>
          </w:tcPr>
          <w:p w14:paraId="6D13DB2C" w14:textId="77777777" w:rsidR="00864650" w:rsidRPr="00AB4EEB" w:rsidRDefault="0024452B">
            <w:pPr>
              <w:rPr>
                <w:rFonts w:ascii="Arial" w:eastAsia="Arial" w:hAnsi="Arial" w:cs="Arial"/>
                <w:sz w:val="20"/>
                <w:szCs w:val="20"/>
              </w:rPr>
            </w:pPr>
            <w:bookmarkStart w:id="0" w:name="_gjdgxs" w:colFirst="0" w:colLast="0"/>
            <w:bookmarkEnd w:id="0"/>
            <w:r w:rsidRPr="00AB4EEB">
              <w:rPr>
                <w:rFonts w:ascii="Arial" w:eastAsia="Arial" w:hAnsi="Arial" w:cs="Arial"/>
                <w:sz w:val="20"/>
                <w:szCs w:val="20"/>
              </w:rPr>
              <w:t>Have governors been given sufficient information and opportunity to make the right decision? Both written submissions and oral testimony made at the hearing constitute evidence and may be taken into consideration.</w:t>
            </w:r>
          </w:p>
        </w:tc>
        <w:tc>
          <w:tcPr>
            <w:tcW w:w="420" w:type="dxa"/>
          </w:tcPr>
          <w:p w14:paraId="2DCC0B2A" w14:textId="77777777" w:rsidR="00864650" w:rsidRPr="00AB4EEB" w:rsidRDefault="00864650">
            <w:pPr>
              <w:rPr>
                <w:rFonts w:ascii="Arial" w:eastAsia="Arial" w:hAnsi="Arial" w:cs="Arial"/>
                <w:sz w:val="20"/>
                <w:szCs w:val="20"/>
              </w:rPr>
            </w:pPr>
          </w:p>
        </w:tc>
      </w:tr>
      <w:tr w:rsidR="00AB4EEB" w:rsidRPr="00AB4EEB" w14:paraId="7A164915" w14:textId="77777777">
        <w:tc>
          <w:tcPr>
            <w:tcW w:w="10650" w:type="dxa"/>
          </w:tcPr>
          <w:p w14:paraId="1601EE54" w14:textId="77777777" w:rsidR="00864650" w:rsidRPr="00AB4EEB" w:rsidRDefault="0024452B">
            <w:pPr>
              <w:rPr>
                <w:rFonts w:ascii="Arial" w:eastAsia="Arial" w:hAnsi="Arial" w:cs="Arial"/>
                <w:sz w:val="20"/>
                <w:szCs w:val="20"/>
              </w:rPr>
            </w:pPr>
            <w:r w:rsidRPr="00AB4EEB">
              <w:rPr>
                <w:rFonts w:ascii="Arial" w:eastAsia="Arial" w:hAnsi="Arial" w:cs="Arial"/>
                <w:sz w:val="20"/>
                <w:szCs w:val="20"/>
              </w:rPr>
              <w:t xml:space="preserve">Has the school provided work for the first five days of the exclusion </w:t>
            </w:r>
            <w:r w:rsidRPr="00AB4EEB">
              <w:rPr>
                <w:rFonts w:ascii="Arial" w:eastAsia="Arial" w:hAnsi="Arial" w:cs="Arial"/>
                <w:sz w:val="20"/>
                <w:szCs w:val="20"/>
                <w:u w:val="single"/>
              </w:rPr>
              <w:t>and</w:t>
            </w:r>
            <w:r w:rsidRPr="00AB4EEB">
              <w:rPr>
                <w:rFonts w:ascii="Arial" w:eastAsia="Arial" w:hAnsi="Arial" w:cs="Arial"/>
                <w:sz w:val="20"/>
                <w:szCs w:val="20"/>
              </w:rPr>
              <w:t xml:space="preserve"> had it marked? </w:t>
            </w:r>
          </w:p>
        </w:tc>
        <w:tc>
          <w:tcPr>
            <w:tcW w:w="420" w:type="dxa"/>
          </w:tcPr>
          <w:p w14:paraId="6320BD98" w14:textId="77777777" w:rsidR="00864650" w:rsidRPr="00AB4EEB" w:rsidRDefault="00864650">
            <w:pPr>
              <w:rPr>
                <w:rFonts w:ascii="Arial" w:eastAsia="Arial" w:hAnsi="Arial" w:cs="Arial"/>
                <w:sz w:val="20"/>
                <w:szCs w:val="20"/>
              </w:rPr>
            </w:pPr>
          </w:p>
        </w:tc>
      </w:tr>
      <w:tr w:rsidR="00AB4EEB" w:rsidRPr="00AB4EEB" w14:paraId="35F83321" w14:textId="77777777">
        <w:tc>
          <w:tcPr>
            <w:tcW w:w="10650" w:type="dxa"/>
          </w:tcPr>
          <w:p w14:paraId="43FE94CD" w14:textId="44800147" w:rsidR="00864650" w:rsidRPr="00AB4EEB" w:rsidRDefault="0024452B">
            <w:pPr>
              <w:rPr>
                <w:rFonts w:ascii="Arial" w:eastAsia="Arial" w:hAnsi="Arial" w:cs="Arial"/>
                <w:sz w:val="20"/>
                <w:szCs w:val="20"/>
              </w:rPr>
            </w:pPr>
            <w:r w:rsidRPr="00AB4EEB">
              <w:rPr>
                <w:rFonts w:ascii="Arial" w:eastAsia="Arial" w:hAnsi="Arial" w:cs="Arial"/>
                <w:sz w:val="20"/>
                <w:szCs w:val="20"/>
              </w:rPr>
              <w:t xml:space="preserve">Has the </w:t>
            </w:r>
            <w:r w:rsidR="0094394B">
              <w:rPr>
                <w:rFonts w:ascii="Arial" w:eastAsia="Arial" w:hAnsi="Arial" w:cs="Arial"/>
                <w:sz w:val="20"/>
                <w:szCs w:val="20"/>
              </w:rPr>
              <w:t>l</w:t>
            </w:r>
            <w:r w:rsidRPr="00AB4EEB">
              <w:rPr>
                <w:rFonts w:ascii="Arial" w:eastAsia="Arial" w:hAnsi="Arial" w:cs="Arial"/>
                <w:sz w:val="20"/>
                <w:szCs w:val="20"/>
              </w:rPr>
              <w:t xml:space="preserve">ocal </w:t>
            </w:r>
            <w:r w:rsidR="0094394B">
              <w:rPr>
                <w:rFonts w:ascii="Arial" w:eastAsia="Arial" w:hAnsi="Arial" w:cs="Arial"/>
                <w:sz w:val="20"/>
                <w:szCs w:val="20"/>
              </w:rPr>
              <w:t>a</w:t>
            </w:r>
            <w:r w:rsidRPr="00AB4EEB">
              <w:rPr>
                <w:rFonts w:ascii="Arial" w:eastAsia="Arial" w:hAnsi="Arial" w:cs="Arial"/>
                <w:sz w:val="20"/>
                <w:szCs w:val="20"/>
              </w:rPr>
              <w:t>uthority been advised of the permanent exclusion and put in place educational provision from Day 6 of the exclusion? Is the child attending?</w:t>
            </w:r>
          </w:p>
        </w:tc>
        <w:tc>
          <w:tcPr>
            <w:tcW w:w="420" w:type="dxa"/>
          </w:tcPr>
          <w:p w14:paraId="189F6526" w14:textId="77777777" w:rsidR="00864650" w:rsidRPr="00AB4EEB" w:rsidRDefault="00864650">
            <w:pPr>
              <w:rPr>
                <w:rFonts w:ascii="Arial" w:eastAsia="Arial" w:hAnsi="Arial" w:cs="Arial"/>
                <w:sz w:val="20"/>
                <w:szCs w:val="20"/>
              </w:rPr>
            </w:pPr>
          </w:p>
        </w:tc>
      </w:tr>
      <w:tr w:rsidR="00AB4EEB" w:rsidRPr="00AB4EEB" w14:paraId="688A8912" w14:textId="77777777">
        <w:tc>
          <w:tcPr>
            <w:tcW w:w="10650" w:type="dxa"/>
            <w:shd w:val="clear" w:color="auto" w:fill="CFE2F3"/>
          </w:tcPr>
          <w:p w14:paraId="0DCE480B" w14:textId="77777777" w:rsidR="00864650" w:rsidRPr="00AB4EEB" w:rsidRDefault="0024452B">
            <w:pPr>
              <w:rPr>
                <w:rFonts w:ascii="Arial" w:eastAsia="Arial" w:hAnsi="Arial" w:cs="Arial"/>
                <w:b/>
                <w:sz w:val="20"/>
                <w:szCs w:val="20"/>
              </w:rPr>
            </w:pPr>
            <w:r w:rsidRPr="00AB4EEB">
              <w:rPr>
                <w:rFonts w:ascii="Arial" w:eastAsia="Arial" w:hAnsi="Arial" w:cs="Arial"/>
                <w:b/>
                <w:sz w:val="20"/>
                <w:szCs w:val="20"/>
              </w:rPr>
              <w:t>Discrimination and Intervention</w:t>
            </w:r>
          </w:p>
        </w:tc>
        <w:tc>
          <w:tcPr>
            <w:tcW w:w="420" w:type="dxa"/>
          </w:tcPr>
          <w:p w14:paraId="3DAE7350" w14:textId="77777777" w:rsidR="00864650" w:rsidRPr="00AB4EEB" w:rsidRDefault="00864650">
            <w:pPr>
              <w:rPr>
                <w:rFonts w:ascii="Arial" w:eastAsia="Arial" w:hAnsi="Arial" w:cs="Arial"/>
                <w:sz w:val="20"/>
                <w:szCs w:val="20"/>
              </w:rPr>
            </w:pPr>
          </w:p>
        </w:tc>
      </w:tr>
      <w:tr w:rsidR="00AB4EEB" w:rsidRPr="00AB4EEB" w14:paraId="10C4B0BF" w14:textId="77777777">
        <w:tc>
          <w:tcPr>
            <w:tcW w:w="10650" w:type="dxa"/>
          </w:tcPr>
          <w:p w14:paraId="25B95C8B" w14:textId="77777777" w:rsidR="00864650" w:rsidRPr="00AB4EEB" w:rsidRDefault="0024452B">
            <w:pPr>
              <w:rPr>
                <w:rFonts w:ascii="Arial" w:eastAsia="Arial" w:hAnsi="Arial" w:cs="Arial"/>
                <w:sz w:val="20"/>
                <w:szCs w:val="20"/>
              </w:rPr>
            </w:pPr>
            <w:r w:rsidRPr="00AB4EEB">
              <w:rPr>
                <w:rFonts w:ascii="Arial" w:eastAsia="Arial" w:hAnsi="Arial" w:cs="Arial"/>
                <w:sz w:val="20"/>
                <w:szCs w:val="20"/>
              </w:rPr>
              <w:t>Are governors satisfied that the exclusion was not based on any element of discrimination? If a pupil is from an at-risk ethnic or social background (e.g. Black Caribbean, Gypsy/Roma, Traveller, LAC), was this given additional scrutiny to ensure compliance with the Equality Act 2010?</w:t>
            </w:r>
          </w:p>
        </w:tc>
        <w:tc>
          <w:tcPr>
            <w:tcW w:w="420" w:type="dxa"/>
          </w:tcPr>
          <w:p w14:paraId="532014A4" w14:textId="77777777" w:rsidR="00864650" w:rsidRPr="00AB4EEB" w:rsidRDefault="00864650">
            <w:pPr>
              <w:rPr>
                <w:rFonts w:ascii="Arial" w:eastAsia="Arial" w:hAnsi="Arial" w:cs="Arial"/>
                <w:sz w:val="20"/>
                <w:szCs w:val="20"/>
              </w:rPr>
            </w:pPr>
          </w:p>
        </w:tc>
      </w:tr>
      <w:tr w:rsidR="00AB4EEB" w:rsidRPr="00AB4EEB" w14:paraId="762278DD" w14:textId="77777777">
        <w:tc>
          <w:tcPr>
            <w:tcW w:w="10650" w:type="dxa"/>
          </w:tcPr>
          <w:p w14:paraId="64BD48B4" w14:textId="77777777" w:rsidR="00864650" w:rsidRPr="00AB4EEB" w:rsidRDefault="0024452B">
            <w:pPr>
              <w:rPr>
                <w:rFonts w:ascii="Arial" w:eastAsia="Arial" w:hAnsi="Arial" w:cs="Arial"/>
                <w:sz w:val="20"/>
                <w:szCs w:val="20"/>
              </w:rPr>
            </w:pPr>
            <w:r w:rsidRPr="00AB4EEB">
              <w:rPr>
                <w:rFonts w:ascii="Arial" w:eastAsia="Arial" w:hAnsi="Arial" w:cs="Arial"/>
                <w:sz w:val="20"/>
                <w:szCs w:val="20"/>
              </w:rPr>
              <w:t>Has the school properly considered whether the child has Special Educational Needs?  Have they considered that disruptive or impulsive behaviour might constitute a social, emotional or mental health (SEMH) need under the SEN Code of Practice?</w:t>
            </w:r>
          </w:p>
        </w:tc>
        <w:tc>
          <w:tcPr>
            <w:tcW w:w="420" w:type="dxa"/>
          </w:tcPr>
          <w:p w14:paraId="4C9B1FDE" w14:textId="77777777" w:rsidR="00864650" w:rsidRPr="00AB4EEB" w:rsidRDefault="00864650">
            <w:pPr>
              <w:rPr>
                <w:rFonts w:ascii="Arial" w:eastAsia="Arial" w:hAnsi="Arial" w:cs="Arial"/>
                <w:sz w:val="20"/>
                <w:szCs w:val="20"/>
              </w:rPr>
            </w:pPr>
          </w:p>
        </w:tc>
      </w:tr>
      <w:tr w:rsidR="00AB4EEB" w:rsidRPr="00AB4EEB" w14:paraId="3C114A0C" w14:textId="77777777">
        <w:tc>
          <w:tcPr>
            <w:tcW w:w="10650" w:type="dxa"/>
          </w:tcPr>
          <w:p w14:paraId="2383A1BC" w14:textId="77777777" w:rsidR="00864650" w:rsidRPr="00AB4EEB" w:rsidRDefault="0024452B">
            <w:pPr>
              <w:rPr>
                <w:rFonts w:ascii="Arial" w:eastAsia="Arial" w:hAnsi="Arial" w:cs="Arial"/>
                <w:sz w:val="20"/>
                <w:szCs w:val="20"/>
              </w:rPr>
            </w:pPr>
            <w:r w:rsidRPr="00AB4EEB">
              <w:rPr>
                <w:rFonts w:ascii="Arial" w:eastAsia="Arial" w:hAnsi="Arial" w:cs="Arial"/>
                <w:sz w:val="20"/>
                <w:szCs w:val="20"/>
              </w:rPr>
              <w:t>If the pupil has an EHCP, did the school ask the LA to convene an emergency annual review?</w:t>
            </w:r>
          </w:p>
        </w:tc>
        <w:tc>
          <w:tcPr>
            <w:tcW w:w="420" w:type="dxa"/>
          </w:tcPr>
          <w:p w14:paraId="0BE06F0F" w14:textId="77777777" w:rsidR="00864650" w:rsidRPr="00AB4EEB" w:rsidRDefault="00864650">
            <w:pPr>
              <w:rPr>
                <w:rFonts w:ascii="Arial" w:eastAsia="Arial" w:hAnsi="Arial" w:cs="Arial"/>
                <w:sz w:val="20"/>
                <w:szCs w:val="20"/>
              </w:rPr>
            </w:pPr>
          </w:p>
        </w:tc>
      </w:tr>
      <w:tr w:rsidR="00AB4EEB" w:rsidRPr="00AB4EEB" w14:paraId="74E0FC61" w14:textId="77777777">
        <w:tc>
          <w:tcPr>
            <w:tcW w:w="10650" w:type="dxa"/>
          </w:tcPr>
          <w:p w14:paraId="7E527FA7" w14:textId="77777777" w:rsidR="00864650" w:rsidRPr="00AB4EEB" w:rsidRDefault="0024452B">
            <w:pPr>
              <w:rPr>
                <w:rFonts w:ascii="Arial" w:eastAsia="Arial" w:hAnsi="Arial" w:cs="Arial"/>
                <w:sz w:val="20"/>
                <w:szCs w:val="20"/>
              </w:rPr>
            </w:pPr>
            <w:r w:rsidRPr="00AB4EEB">
              <w:rPr>
                <w:rFonts w:ascii="Arial" w:eastAsia="Arial" w:hAnsi="Arial" w:cs="Arial"/>
                <w:sz w:val="20"/>
                <w:szCs w:val="20"/>
              </w:rPr>
              <w:t>If the pupil is a Looked-After Child, has the school involved the Virtual School Head/social worker and accessed all the resources available from the council?</w:t>
            </w:r>
          </w:p>
        </w:tc>
        <w:tc>
          <w:tcPr>
            <w:tcW w:w="420" w:type="dxa"/>
          </w:tcPr>
          <w:p w14:paraId="3DF82CF1" w14:textId="77777777" w:rsidR="00864650" w:rsidRPr="00AB4EEB" w:rsidRDefault="00864650">
            <w:pPr>
              <w:rPr>
                <w:rFonts w:ascii="Arial" w:eastAsia="Arial" w:hAnsi="Arial" w:cs="Arial"/>
                <w:sz w:val="20"/>
                <w:szCs w:val="20"/>
              </w:rPr>
            </w:pPr>
          </w:p>
        </w:tc>
      </w:tr>
      <w:tr w:rsidR="00AB4EEB" w:rsidRPr="00AB4EEB" w14:paraId="33EF74B4" w14:textId="77777777">
        <w:tc>
          <w:tcPr>
            <w:tcW w:w="10650" w:type="dxa"/>
          </w:tcPr>
          <w:p w14:paraId="763F057A" w14:textId="77777777" w:rsidR="00864650" w:rsidRPr="00AB4EEB" w:rsidRDefault="0024452B">
            <w:pPr>
              <w:rPr>
                <w:rFonts w:ascii="Arial" w:eastAsia="Arial" w:hAnsi="Arial" w:cs="Arial"/>
                <w:sz w:val="20"/>
                <w:szCs w:val="20"/>
              </w:rPr>
            </w:pPr>
            <w:r w:rsidRPr="00AB4EEB">
              <w:rPr>
                <w:rFonts w:ascii="Arial" w:eastAsia="Arial" w:hAnsi="Arial" w:cs="Arial"/>
                <w:sz w:val="20"/>
                <w:szCs w:val="20"/>
              </w:rPr>
              <w:t>Where there is a history of poor behaviour, has the school attempted to identify contributory factors and underlying causes and address them through interventions and support? Have governors received sufficient evidence of this?</w:t>
            </w:r>
          </w:p>
        </w:tc>
        <w:tc>
          <w:tcPr>
            <w:tcW w:w="420" w:type="dxa"/>
          </w:tcPr>
          <w:p w14:paraId="6AC21D6B" w14:textId="77777777" w:rsidR="00864650" w:rsidRPr="00AB4EEB" w:rsidRDefault="00864650">
            <w:pPr>
              <w:rPr>
                <w:rFonts w:ascii="Arial" w:eastAsia="Arial" w:hAnsi="Arial" w:cs="Arial"/>
                <w:sz w:val="20"/>
                <w:szCs w:val="20"/>
              </w:rPr>
            </w:pPr>
          </w:p>
        </w:tc>
      </w:tr>
      <w:tr w:rsidR="00AB4EEB" w:rsidRPr="00AB4EEB" w14:paraId="40C81E7D" w14:textId="77777777">
        <w:tc>
          <w:tcPr>
            <w:tcW w:w="10650" w:type="dxa"/>
            <w:shd w:val="clear" w:color="auto" w:fill="CFE2F3"/>
          </w:tcPr>
          <w:p w14:paraId="045CE746" w14:textId="77777777" w:rsidR="00864650" w:rsidRPr="00AB4EEB" w:rsidRDefault="0024452B">
            <w:pPr>
              <w:rPr>
                <w:rFonts w:ascii="Arial" w:eastAsia="Arial" w:hAnsi="Arial" w:cs="Arial"/>
                <w:b/>
                <w:sz w:val="20"/>
                <w:szCs w:val="20"/>
              </w:rPr>
            </w:pPr>
            <w:r w:rsidRPr="00AB4EEB">
              <w:rPr>
                <w:rFonts w:ascii="Arial" w:eastAsia="Arial" w:hAnsi="Arial" w:cs="Arial"/>
                <w:b/>
                <w:sz w:val="20"/>
                <w:szCs w:val="20"/>
              </w:rPr>
              <w:t>The Headteacher’s decision - Natural principles of justice</w:t>
            </w:r>
          </w:p>
        </w:tc>
        <w:tc>
          <w:tcPr>
            <w:tcW w:w="420" w:type="dxa"/>
          </w:tcPr>
          <w:p w14:paraId="7B211FA6" w14:textId="77777777" w:rsidR="00864650" w:rsidRPr="00AB4EEB" w:rsidRDefault="00864650">
            <w:pPr>
              <w:rPr>
                <w:rFonts w:ascii="Arial" w:eastAsia="Arial" w:hAnsi="Arial" w:cs="Arial"/>
                <w:sz w:val="20"/>
                <w:szCs w:val="20"/>
              </w:rPr>
            </w:pPr>
          </w:p>
        </w:tc>
      </w:tr>
      <w:tr w:rsidR="00AB4EEB" w:rsidRPr="00AB4EEB" w14:paraId="75007F8D" w14:textId="77777777">
        <w:tc>
          <w:tcPr>
            <w:tcW w:w="10650" w:type="dxa"/>
          </w:tcPr>
          <w:p w14:paraId="58466C90" w14:textId="77777777" w:rsidR="00864650" w:rsidRPr="00AB4EEB" w:rsidRDefault="0024452B">
            <w:pPr>
              <w:rPr>
                <w:rFonts w:ascii="Arial" w:eastAsia="Arial" w:hAnsi="Arial" w:cs="Arial"/>
                <w:i/>
                <w:sz w:val="20"/>
                <w:szCs w:val="20"/>
              </w:rPr>
            </w:pPr>
            <w:r w:rsidRPr="00AB4EEB">
              <w:rPr>
                <w:rFonts w:ascii="Arial" w:eastAsia="Arial" w:hAnsi="Arial" w:cs="Arial"/>
                <w:sz w:val="20"/>
                <w:szCs w:val="20"/>
              </w:rPr>
              <w:t>Is the decision lawful?</w:t>
            </w:r>
            <w:r w:rsidRPr="00AB4EEB">
              <w:rPr>
                <w:rFonts w:ascii="Arial" w:eastAsia="Arial" w:hAnsi="Arial" w:cs="Arial"/>
                <w:i/>
                <w:sz w:val="20"/>
                <w:szCs w:val="20"/>
              </w:rPr>
              <w:t xml:space="preserve"> An example of an unlawful decision might be where the Headteacher has applied the wrong legal standard or has exceeded his/her powers.</w:t>
            </w:r>
          </w:p>
        </w:tc>
        <w:tc>
          <w:tcPr>
            <w:tcW w:w="420" w:type="dxa"/>
          </w:tcPr>
          <w:p w14:paraId="20BFB146" w14:textId="77777777" w:rsidR="00864650" w:rsidRPr="00AB4EEB" w:rsidRDefault="00864650">
            <w:pPr>
              <w:rPr>
                <w:rFonts w:ascii="Arial" w:eastAsia="Arial" w:hAnsi="Arial" w:cs="Arial"/>
                <w:sz w:val="20"/>
                <w:szCs w:val="20"/>
              </w:rPr>
            </w:pPr>
          </w:p>
        </w:tc>
      </w:tr>
      <w:tr w:rsidR="00AB4EEB" w:rsidRPr="00AB4EEB" w14:paraId="7053D597" w14:textId="77777777">
        <w:tc>
          <w:tcPr>
            <w:tcW w:w="10650" w:type="dxa"/>
          </w:tcPr>
          <w:p w14:paraId="2F2A3C1C" w14:textId="77777777" w:rsidR="00864650" w:rsidRPr="00AB4EEB" w:rsidRDefault="0024452B">
            <w:pPr>
              <w:rPr>
                <w:rFonts w:ascii="Arial" w:eastAsia="Arial" w:hAnsi="Arial" w:cs="Arial"/>
                <w:i/>
                <w:sz w:val="20"/>
                <w:szCs w:val="20"/>
              </w:rPr>
            </w:pPr>
            <w:r w:rsidRPr="00AB4EEB">
              <w:rPr>
                <w:rFonts w:ascii="Arial" w:eastAsia="Arial" w:hAnsi="Arial" w:cs="Arial"/>
                <w:sz w:val="20"/>
                <w:szCs w:val="20"/>
              </w:rPr>
              <w:t>Was the decision fair?</w:t>
            </w:r>
            <w:r w:rsidRPr="00AB4EEB">
              <w:rPr>
                <w:rFonts w:ascii="Arial" w:eastAsia="Arial" w:hAnsi="Arial" w:cs="Arial"/>
                <w:i/>
                <w:sz w:val="20"/>
                <w:szCs w:val="20"/>
              </w:rPr>
              <w:t xml:space="preserve"> An example of unfair decision might be when one pupil is permanently excluded for the same offence as a pupil who was not, where there are no other differences between the pupils to explain this.</w:t>
            </w:r>
          </w:p>
        </w:tc>
        <w:tc>
          <w:tcPr>
            <w:tcW w:w="420" w:type="dxa"/>
          </w:tcPr>
          <w:p w14:paraId="0250C9A1" w14:textId="77777777" w:rsidR="00864650" w:rsidRPr="00AB4EEB" w:rsidRDefault="00864650">
            <w:pPr>
              <w:rPr>
                <w:rFonts w:ascii="Arial" w:eastAsia="Arial" w:hAnsi="Arial" w:cs="Arial"/>
                <w:sz w:val="20"/>
                <w:szCs w:val="20"/>
              </w:rPr>
            </w:pPr>
          </w:p>
        </w:tc>
      </w:tr>
      <w:tr w:rsidR="00AB4EEB" w:rsidRPr="00AB4EEB" w14:paraId="5FEECF98" w14:textId="77777777">
        <w:tc>
          <w:tcPr>
            <w:tcW w:w="10650" w:type="dxa"/>
          </w:tcPr>
          <w:p w14:paraId="5B35F339" w14:textId="77777777" w:rsidR="00864650" w:rsidRPr="00AB4EEB" w:rsidRDefault="0024452B">
            <w:pPr>
              <w:rPr>
                <w:rFonts w:ascii="Arial" w:eastAsia="Arial" w:hAnsi="Arial" w:cs="Arial"/>
                <w:i/>
                <w:sz w:val="20"/>
                <w:szCs w:val="20"/>
              </w:rPr>
            </w:pPr>
            <w:r w:rsidRPr="00AB4EEB">
              <w:rPr>
                <w:rFonts w:ascii="Arial" w:eastAsia="Arial" w:hAnsi="Arial" w:cs="Arial"/>
                <w:sz w:val="20"/>
                <w:szCs w:val="20"/>
              </w:rPr>
              <w:t>Is the sanction proportionate?</w:t>
            </w:r>
            <w:r w:rsidRPr="00AB4EEB">
              <w:rPr>
                <w:rFonts w:ascii="Arial" w:eastAsia="Arial" w:hAnsi="Arial" w:cs="Arial"/>
                <w:i/>
                <w:sz w:val="20"/>
                <w:szCs w:val="20"/>
              </w:rPr>
              <w:t xml:space="preserve"> Proportionality means that it is the minimum sanction available effectively to achieve the ends required by the school.</w:t>
            </w:r>
          </w:p>
        </w:tc>
        <w:tc>
          <w:tcPr>
            <w:tcW w:w="420" w:type="dxa"/>
          </w:tcPr>
          <w:p w14:paraId="3FC0BBBB" w14:textId="77777777" w:rsidR="00864650" w:rsidRPr="00AB4EEB" w:rsidRDefault="00864650">
            <w:pPr>
              <w:rPr>
                <w:rFonts w:ascii="Arial" w:eastAsia="Arial" w:hAnsi="Arial" w:cs="Arial"/>
                <w:sz w:val="20"/>
                <w:szCs w:val="20"/>
              </w:rPr>
            </w:pPr>
          </w:p>
        </w:tc>
      </w:tr>
      <w:tr w:rsidR="00AB4EEB" w:rsidRPr="00AB4EEB" w14:paraId="20DB67B3" w14:textId="77777777">
        <w:tc>
          <w:tcPr>
            <w:tcW w:w="10650" w:type="dxa"/>
          </w:tcPr>
          <w:p w14:paraId="679EF22D" w14:textId="77777777" w:rsidR="00864650" w:rsidRPr="00AB4EEB" w:rsidRDefault="0024452B">
            <w:pPr>
              <w:rPr>
                <w:rFonts w:ascii="Arial" w:eastAsia="Arial" w:hAnsi="Arial" w:cs="Arial"/>
                <w:sz w:val="20"/>
                <w:szCs w:val="20"/>
              </w:rPr>
            </w:pPr>
            <w:r w:rsidRPr="00AB4EEB">
              <w:rPr>
                <w:rFonts w:ascii="Arial" w:eastAsia="Arial" w:hAnsi="Arial" w:cs="Arial"/>
                <w:sz w:val="20"/>
                <w:szCs w:val="20"/>
              </w:rPr>
              <w:t>Linked to the above, is the decision a last resort? Did the Headteacher consider alternatives (e.g. direction offsite or a managed move) and if rejected, has this been explained? Has the school explained why no other sanction would suffice?  Did the school do all it could to mitigate against exclusion or has it satisfactorily argued that the behaviour could not have been foreseen?</w:t>
            </w:r>
          </w:p>
        </w:tc>
        <w:tc>
          <w:tcPr>
            <w:tcW w:w="420" w:type="dxa"/>
          </w:tcPr>
          <w:p w14:paraId="57BDA122" w14:textId="77777777" w:rsidR="00864650" w:rsidRPr="00AB4EEB" w:rsidRDefault="00864650">
            <w:pPr>
              <w:rPr>
                <w:rFonts w:ascii="Arial" w:eastAsia="Arial" w:hAnsi="Arial" w:cs="Arial"/>
                <w:sz w:val="20"/>
                <w:szCs w:val="20"/>
              </w:rPr>
            </w:pPr>
          </w:p>
        </w:tc>
      </w:tr>
      <w:tr w:rsidR="00AB4EEB" w:rsidRPr="00AB4EEB" w14:paraId="10E85B49" w14:textId="77777777">
        <w:tc>
          <w:tcPr>
            <w:tcW w:w="10650" w:type="dxa"/>
          </w:tcPr>
          <w:p w14:paraId="1C260968" w14:textId="77777777" w:rsidR="00864650" w:rsidRPr="00AB4EEB" w:rsidRDefault="0024452B">
            <w:pPr>
              <w:rPr>
                <w:rFonts w:ascii="Arial" w:eastAsia="Arial" w:hAnsi="Arial" w:cs="Arial"/>
                <w:i/>
                <w:sz w:val="20"/>
                <w:szCs w:val="20"/>
              </w:rPr>
            </w:pPr>
            <w:r w:rsidRPr="00AB4EEB">
              <w:rPr>
                <w:rFonts w:ascii="Arial" w:eastAsia="Arial" w:hAnsi="Arial" w:cs="Arial"/>
                <w:sz w:val="20"/>
                <w:szCs w:val="20"/>
              </w:rPr>
              <w:t>Is the decision rational and reasonable?</w:t>
            </w:r>
            <w:r w:rsidRPr="00AB4EEB">
              <w:rPr>
                <w:rFonts w:ascii="Arial" w:eastAsia="Arial" w:hAnsi="Arial" w:cs="Arial"/>
                <w:i/>
                <w:sz w:val="20"/>
                <w:szCs w:val="20"/>
              </w:rPr>
              <w:t xml:space="preserve"> An irrational decision is one that no ordinary and objective person would reasonably make. </w:t>
            </w:r>
          </w:p>
        </w:tc>
        <w:tc>
          <w:tcPr>
            <w:tcW w:w="420" w:type="dxa"/>
          </w:tcPr>
          <w:p w14:paraId="7A43AA47" w14:textId="77777777" w:rsidR="00864650" w:rsidRPr="00AB4EEB" w:rsidRDefault="00864650">
            <w:pPr>
              <w:rPr>
                <w:rFonts w:ascii="Arial" w:eastAsia="Arial" w:hAnsi="Arial" w:cs="Arial"/>
                <w:sz w:val="20"/>
                <w:szCs w:val="20"/>
              </w:rPr>
            </w:pPr>
          </w:p>
        </w:tc>
      </w:tr>
      <w:tr w:rsidR="00AB4EEB" w:rsidRPr="00AB4EEB" w14:paraId="67F2A495" w14:textId="77777777">
        <w:tc>
          <w:tcPr>
            <w:tcW w:w="10650" w:type="dxa"/>
            <w:shd w:val="clear" w:color="auto" w:fill="CFE2F3"/>
          </w:tcPr>
          <w:p w14:paraId="3D02ABCD" w14:textId="77777777" w:rsidR="00864650" w:rsidRPr="00AB4EEB" w:rsidRDefault="0024452B">
            <w:pPr>
              <w:rPr>
                <w:rFonts w:ascii="Arial" w:eastAsia="Arial" w:hAnsi="Arial" w:cs="Arial"/>
                <w:b/>
                <w:sz w:val="20"/>
                <w:szCs w:val="20"/>
              </w:rPr>
            </w:pPr>
            <w:r w:rsidRPr="00AB4EEB">
              <w:rPr>
                <w:rFonts w:ascii="Arial" w:eastAsia="Arial" w:hAnsi="Arial" w:cs="Arial"/>
                <w:b/>
                <w:sz w:val="20"/>
                <w:szCs w:val="20"/>
              </w:rPr>
              <w:t>Considering reinstatement</w:t>
            </w:r>
          </w:p>
        </w:tc>
        <w:tc>
          <w:tcPr>
            <w:tcW w:w="420" w:type="dxa"/>
          </w:tcPr>
          <w:p w14:paraId="2A85BEBA" w14:textId="77777777" w:rsidR="00864650" w:rsidRPr="00AB4EEB" w:rsidRDefault="00864650">
            <w:pPr>
              <w:rPr>
                <w:rFonts w:ascii="Arial" w:eastAsia="Arial" w:hAnsi="Arial" w:cs="Arial"/>
                <w:sz w:val="20"/>
                <w:szCs w:val="20"/>
              </w:rPr>
            </w:pPr>
          </w:p>
        </w:tc>
      </w:tr>
      <w:tr w:rsidR="00AB4EEB" w:rsidRPr="00AB4EEB" w14:paraId="5D38A452" w14:textId="77777777">
        <w:tc>
          <w:tcPr>
            <w:tcW w:w="10650" w:type="dxa"/>
          </w:tcPr>
          <w:p w14:paraId="62A0DF1D" w14:textId="77777777" w:rsidR="00864650" w:rsidRPr="00AB4EEB" w:rsidRDefault="0024452B">
            <w:pPr>
              <w:rPr>
                <w:rFonts w:ascii="Arial" w:eastAsia="Arial" w:hAnsi="Arial" w:cs="Arial"/>
                <w:sz w:val="20"/>
                <w:szCs w:val="20"/>
              </w:rPr>
            </w:pPr>
            <w:r w:rsidRPr="00AB4EEB">
              <w:rPr>
                <w:rFonts w:ascii="Arial" w:eastAsia="Arial" w:hAnsi="Arial" w:cs="Arial"/>
                <w:sz w:val="20"/>
                <w:szCs w:val="20"/>
              </w:rPr>
              <w:t>Would reinstatement seriously harm the education or wellbeing of the child or others in the school community?</w:t>
            </w:r>
          </w:p>
          <w:p w14:paraId="509C4675" w14:textId="77777777" w:rsidR="00864650" w:rsidRPr="00AB4EEB" w:rsidRDefault="0024452B">
            <w:pPr>
              <w:rPr>
                <w:rFonts w:ascii="Arial" w:eastAsia="Arial" w:hAnsi="Arial" w:cs="Arial"/>
                <w:i/>
                <w:sz w:val="20"/>
                <w:szCs w:val="20"/>
              </w:rPr>
            </w:pPr>
            <w:r w:rsidRPr="00AB4EEB">
              <w:rPr>
                <w:rFonts w:ascii="Arial" w:eastAsia="Arial" w:hAnsi="Arial" w:cs="Arial"/>
                <w:i/>
                <w:sz w:val="20"/>
                <w:szCs w:val="20"/>
              </w:rPr>
              <w:t>‘Would’ requires a higher level of certainty than ‘might’, ‘could’, ‘is likely to’. ‘Serious harm’ requires a higher level of impact than ‘detriment’ - it must present a situation in school that can no longer be tolerated.</w:t>
            </w:r>
          </w:p>
        </w:tc>
        <w:tc>
          <w:tcPr>
            <w:tcW w:w="420" w:type="dxa"/>
          </w:tcPr>
          <w:p w14:paraId="1647D810" w14:textId="77777777" w:rsidR="00864650" w:rsidRPr="00AB4EEB" w:rsidRDefault="00864650">
            <w:pPr>
              <w:rPr>
                <w:rFonts w:ascii="Arial" w:eastAsia="Arial" w:hAnsi="Arial" w:cs="Arial"/>
                <w:sz w:val="20"/>
                <w:szCs w:val="20"/>
              </w:rPr>
            </w:pPr>
          </w:p>
        </w:tc>
      </w:tr>
      <w:tr w:rsidR="00AB4EEB" w:rsidRPr="00AB4EEB" w14:paraId="577F758C" w14:textId="77777777">
        <w:tc>
          <w:tcPr>
            <w:tcW w:w="10650" w:type="dxa"/>
          </w:tcPr>
          <w:p w14:paraId="6104B4B4" w14:textId="77777777" w:rsidR="00864650" w:rsidRPr="00AB4EEB" w:rsidRDefault="0024452B">
            <w:pPr>
              <w:rPr>
                <w:rFonts w:ascii="Arial" w:eastAsia="Arial" w:hAnsi="Arial" w:cs="Arial"/>
                <w:sz w:val="20"/>
                <w:szCs w:val="20"/>
              </w:rPr>
            </w:pPr>
            <w:r w:rsidRPr="00AB4EEB">
              <w:rPr>
                <w:rFonts w:ascii="Arial" w:eastAsia="Arial" w:hAnsi="Arial" w:cs="Arial"/>
                <w:sz w:val="20"/>
                <w:szCs w:val="20"/>
              </w:rPr>
              <w:t>Having considered the child’s or parents’ evidence, are governors satisfied that any mitigating factors do not excuse/explain the behaviour? This includes unmet SEND needs, bereavement, divorce, family discord, bullying at school, etc.? Did the Headteacher take these mitigating factors into account?</w:t>
            </w:r>
          </w:p>
        </w:tc>
        <w:tc>
          <w:tcPr>
            <w:tcW w:w="420" w:type="dxa"/>
          </w:tcPr>
          <w:p w14:paraId="0C955235" w14:textId="77777777" w:rsidR="00864650" w:rsidRPr="00AB4EEB" w:rsidRDefault="00864650">
            <w:pPr>
              <w:rPr>
                <w:rFonts w:ascii="Arial" w:eastAsia="Arial" w:hAnsi="Arial" w:cs="Arial"/>
                <w:sz w:val="20"/>
                <w:szCs w:val="20"/>
              </w:rPr>
            </w:pPr>
          </w:p>
        </w:tc>
      </w:tr>
      <w:tr w:rsidR="00AB4EEB" w:rsidRPr="00AB4EEB" w14:paraId="4E6DFFB4" w14:textId="77777777">
        <w:tc>
          <w:tcPr>
            <w:tcW w:w="10650" w:type="dxa"/>
          </w:tcPr>
          <w:p w14:paraId="4FCD61D6" w14:textId="77777777" w:rsidR="00864650" w:rsidRPr="00AB4EEB" w:rsidRDefault="0024452B">
            <w:pPr>
              <w:rPr>
                <w:rFonts w:ascii="Arial" w:eastAsia="Arial" w:hAnsi="Arial" w:cs="Arial"/>
                <w:sz w:val="20"/>
                <w:szCs w:val="20"/>
              </w:rPr>
            </w:pPr>
            <w:r w:rsidRPr="00AB4EEB">
              <w:rPr>
                <w:rFonts w:ascii="Arial" w:eastAsia="Arial" w:hAnsi="Arial" w:cs="Arial"/>
                <w:sz w:val="20"/>
                <w:szCs w:val="20"/>
              </w:rPr>
              <w:t>How large a negative impact will the exclusion have on the pupil’s education and wellbeing (e.g. Year 8 vs. Year 11)? Are governors satisfied that this negative impact is justified in the circumstances?</w:t>
            </w:r>
          </w:p>
        </w:tc>
        <w:tc>
          <w:tcPr>
            <w:tcW w:w="420" w:type="dxa"/>
          </w:tcPr>
          <w:p w14:paraId="152F30C0" w14:textId="77777777" w:rsidR="00864650" w:rsidRPr="00AB4EEB" w:rsidRDefault="00864650">
            <w:pPr>
              <w:rPr>
                <w:rFonts w:ascii="Arial" w:eastAsia="Arial" w:hAnsi="Arial" w:cs="Arial"/>
                <w:sz w:val="20"/>
                <w:szCs w:val="20"/>
              </w:rPr>
            </w:pPr>
          </w:p>
        </w:tc>
      </w:tr>
    </w:tbl>
    <w:p w14:paraId="6CF780F1" w14:textId="77777777" w:rsidR="00864650" w:rsidRPr="00AB4EEB" w:rsidRDefault="0024452B">
      <w:pPr>
        <w:spacing w:before="120" w:after="0"/>
        <w:ind w:left="-425" w:right="-460"/>
        <w:rPr>
          <w:rFonts w:ascii="Arial" w:eastAsia="Arial" w:hAnsi="Arial" w:cs="Arial"/>
          <w:sz w:val="20"/>
          <w:szCs w:val="20"/>
        </w:rPr>
      </w:pPr>
      <w:r w:rsidRPr="00AB4EEB">
        <w:rPr>
          <w:rFonts w:ascii="Arial" w:eastAsia="Arial" w:hAnsi="Arial" w:cs="Arial"/>
          <w:sz w:val="20"/>
          <w:szCs w:val="20"/>
        </w:rPr>
        <w:t>If any of these questions cannot be answered with a ‘yes’, governors must give consideration to reinstatement. If governors choose not to reinstate, they must clearly explain their decision despite the school’s failure to meet these thresholds.</w:t>
      </w:r>
    </w:p>
    <w:sectPr w:rsidR="00864650" w:rsidRPr="00AB4EEB" w:rsidSect="00E73808">
      <w:footerReference w:type="default" r:id="rId11"/>
      <w:pgSz w:w="11906" w:h="16838"/>
      <w:pgMar w:top="720" w:right="720" w:bottom="720" w:left="720" w:header="708"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AE9AF" w14:textId="77777777" w:rsidR="00E73808" w:rsidRDefault="00E73808" w:rsidP="00E73808">
      <w:pPr>
        <w:spacing w:after="0" w:line="240" w:lineRule="auto"/>
      </w:pPr>
      <w:r>
        <w:separator/>
      </w:r>
    </w:p>
  </w:endnote>
  <w:endnote w:type="continuationSeparator" w:id="0">
    <w:p w14:paraId="389FA7F8" w14:textId="77777777" w:rsidR="00E73808" w:rsidRDefault="00E73808" w:rsidP="00E7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36FF3" w14:textId="09650073" w:rsidR="00E73808" w:rsidRDefault="00E73808" w:rsidP="00E73808">
    <w:pPr>
      <w:pStyle w:val="Footer"/>
    </w:pPr>
    <w:r>
      <w:rPr>
        <w:noProof/>
      </w:rPr>
      <w:drawing>
        <wp:inline distT="0" distB="0" distL="0" distR="0" wp14:anchorId="2CA60143" wp14:editId="778B2B4C">
          <wp:extent cx="629920" cy="448945"/>
          <wp:effectExtent l="0" t="0" r="0" b="8255"/>
          <wp:docPr id="1883091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38292" name="Picture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9920" cy="448945"/>
                  </a:xfrm>
                  <a:prstGeom prst="rect">
                    <a:avLst/>
                  </a:prstGeom>
                </pic:spPr>
              </pic:pic>
            </a:graphicData>
          </a:graphic>
        </wp:inline>
      </w:drawing>
    </w:r>
    <w:r>
      <w:rPr>
        <w:noProof/>
      </w:rPr>
      <w:drawing>
        <wp:inline distT="0" distB="0" distL="0" distR="0" wp14:anchorId="3108F926" wp14:editId="404AE811">
          <wp:extent cx="1245180" cy="335590"/>
          <wp:effectExtent l="0" t="0" r="0" b="7620"/>
          <wp:docPr id="75562406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624062" name="Picture 1" descr="A close-up of a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315413" cy="3545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AB695" w14:textId="77777777" w:rsidR="00E73808" w:rsidRDefault="00E73808" w:rsidP="00E73808">
      <w:pPr>
        <w:spacing w:after="0" w:line="240" w:lineRule="auto"/>
      </w:pPr>
      <w:r>
        <w:separator/>
      </w:r>
    </w:p>
  </w:footnote>
  <w:footnote w:type="continuationSeparator" w:id="0">
    <w:p w14:paraId="0B8F28C9" w14:textId="77777777" w:rsidR="00E73808" w:rsidRDefault="00E73808" w:rsidP="00E738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650"/>
    <w:rsid w:val="00021A3D"/>
    <w:rsid w:val="0024452B"/>
    <w:rsid w:val="00456E71"/>
    <w:rsid w:val="00864650"/>
    <w:rsid w:val="0094394B"/>
    <w:rsid w:val="00AB4EEB"/>
    <w:rsid w:val="00D35CDA"/>
    <w:rsid w:val="00E73808"/>
    <w:rsid w:val="00E75589"/>
    <w:rsid w:val="00F608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16A4"/>
  <w15:docId w15:val="{02B1351F-C6B7-4FC1-824C-4A0C5FEA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customStyle="1" w:styleId="xmsonormal">
    <w:name w:val="x_msonormal"/>
    <w:basedOn w:val="Normal"/>
    <w:rsid w:val="00D35CDA"/>
    <w:pPr>
      <w:spacing w:after="0" w:line="240" w:lineRule="auto"/>
    </w:pPr>
    <w:rPr>
      <w:rFonts w:eastAsiaTheme="minorHAnsi"/>
    </w:rPr>
  </w:style>
  <w:style w:type="character" w:styleId="Hyperlink">
    <w:name w:val="Hyperlink"/>
    <w:basedOn w:val="DefaultParagraphFont"/>
    <w:uiPriority w:val="99"/>
    <w:unhideWhenUsed/>
    <w:rsid w:val="00E75589"/>
    <w:rPr>
      <w:color w:val="0000FF" w:themeColor="hyperlink"/>
      <w:u w:val="single"/>
    </w:rPr>
  </w:style>
  <w:style w:type="paragraph" w:styleId="Header">
    <w:name w:val="header"/>
    <w:basedOn w:val="Normal"/>
    <w:link w:val="HeaderChar"/>
    <w:uiPriority w:val="99"/>
    <w:unhideWhenUsed/>
    <w:rsid w:val="00E73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808"/>
  </w:style>
  <w:style w:type="paragraph" w:styleId="Footer">
    <w:name w:val="footer"/>
    <w:basedOn w:val="Normal"/>
    <w:link w:val="FooterChar"/>
    <w:uiPriority w:val="99"/>
    <w:unhideWhenUsed/>
    <w:rsid w:val="00E73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v.uk/government/publications/school-exclusion" TargetMode="External"/><Relationship Id="rId4" Type="http://schemas.openxmlformats.org/officeDocument/2006/relationships/styles" Target="styles.xml"/><Relationship Id="rId9" Type="http://schemas.openxmlformats.org/officeDocument/2006/relationships/hyperlink" Target="https://www.gov.uk/government/publications/school-exclusion"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c08f4e-f6ee-4095-a8f3-6c9d7e3801d0" xsi:nil="true"/>
    <lcf76f155ced4ddcb4097134ff3c332f xmlns="fe285432-0e1c-43a7-89c7-3a34a0aaa5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E8AB12A010804EAA726936AAEF4697" ma:contentTypeVersion="14" ma:contentTypeDescription="Create a new document." ma:contentTypeScope="" ma:versionID="5ba8766cf552b3c2c38ab7eb84191ecc">
  <xsd:schema xmlns:xsd="http://www.w3.org/2001/XMLSchema" xmlns:xs="http://www.w3.org/2001/XMLSchema" xmlns:p="http://schemas.microsoft.com/office/2006/metadata/properties" xmlns:ns2="fe285432-0e1c-43a7-89c7-3a34a0aaa57f" xmlns:ns3="5ac08f4e-f6ee-4095-a8f3-6c9d7e3801d0" targetNamespace="http://schemas.microsoft.com/office/2006/metadata/properties" ma:root="true" ma:fieldsID="88054692d4fa7dec49bad72ffd1b5bd9" ns2:_="" ns3:_="">
    <xsd:import namespace="fe285432-0e1c-43a7-89c7-3a34a0aaa57f"/>
    <xsd:import namespace="5ac08f4e-f6ee-4095-a8f3-6c9d7e380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85432-0e1c-43a7-89c7-3a34a0aaa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725d68-e136-49b7-8711-aa3e1d379c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08f4e-f6ee-4095-a8f3-6c9d7e3801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10997c1-e9ab-4abe-8c17-8da54288b4f3}" ma:internalName="TaxCatchAll" ma:showField="CatchAllData" ma:web="5ac08f4e-f6ee-4095-a8f3-6c9d7e380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5ECB6-8C31-40EA-93CB-BCC664354DEF}">
  <ds:schemaRefs>
    <ds:schemaRef ds:uri="http://purl.org/dc/dcmitype/"/>
    <ds:schemaRef ds:uri="http://schemas.microsoft.com/office/2006/documentManagement/types"/>
    <ds:schemaRef ds:uri="http://purl.org/dc/terms/"/>
    <ds:schemaRef ds:uri="fe285432-0e1c-43a7-89c7-3a34a0aaa57f"/>
    <ds:schemaRef ds:uri="http://schemas.microsoft.com/office/infopath/2007/PartnerControls"/>
    <ds:schemaRef ds:uri="http://purl.org/dc/elements/1.1/"/>
    <ds:schemaRef ds:uri="http://schemas.openxmlformats.org/package/2006/metadata/core-properties"/>
    <ds:schemaRef ds:uri="5ac08f4e-f6ee-4095-a8f3-6c9d7e3801d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BCAD58C-F861-4585-8A75-7FC8C045C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85432-0e1c-43a7-89c7-3a34a0aaa57f"/>
    <ds:schemaRef ds:uri="5ac08f4e-f6ee-4095-a8f3-6c9d7e380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1904D-284C-43AB-BE3C-FC9C5E05D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 Dillane</dc:creator>
  <cp:lastModifiedBy>Samira Sadeghi</cp:lastModifiedBy>
  <cp:revision>7</cp:revision>
  <dcterms:created xsi:type="dcterms:W3CDTF">2024-04-14T07:58:00Z</dcterms:created>
  <dcterms:modified xsi:type="dcterms:W3CDTF">2024-06-25T08:57:00Z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0x0101008AE8AB12A010804EAA726936AAEF4697</vt:lpwstr>
  </property>
  <property fmtid="{D5CDD505-2E9C-101B-9397-08002B2CF9AE}" pid="3" name="MediaServiceImageTags">
    <vt:lpwstr/>
  </property>
</Properties>
</file>